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AE" w:rsidRDefault="00A653AE" w:rsidP="00A653AE">
      <w:pPr>
        <w:spacing w:after="177"/>
        <w:ind w:left="88"/>
        <w:jc w:val="center"/>
      </w:pPr>
      <w:r>
        <w:rPr>
          <w:noProof/>
        </w:rPr>
        <w:drawing>
          <wp:inline distT="0" distB="0" distL="0" distR="0" wp14:anchorId="7AEE93C2" wp14:editId="2DA78140">
            <wp:extent cx="673100" cy="5334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stretch>
                      <a:fillRect/>
                    </a:stretch>
                  </pic:blipFill>
                  <pic:spPr>
                    <a:xfrm>
                      <a:off x="0" y="0"/>
                      <a:ext cx="673100" cy="533400"/>
                    </a:xfrm>
                    <a:prstGeom prst="rect">
                      <a:avLst/>
                    </a:prstGeom>
                  </pic:spPr>
                </pic:pic>
              </a:graphicData>
            </a:graphic>
          </wp:inline>
        </w:drawing>
      </w:r>
      <w:r>
        <w:rPr>
          <w:b/>
        </w:rPr>
        <w:t xml:space="preserve"> </w:t>
      </w:r>
    </w:p>
    <w:p w:rsidR="00A653AE" w:rsidRDefault="00A653AE" w:rsidP="00A653AE">
      <w:pPr>
        <w:spacing w:after="222"/>
        <w:ind w:left="89" w:right="73"/>
        <w:jc w:val="center"/>
      </w:pPr>
      <w:r>
        <w:rPr>
          <w:b/>
          <w:sz w:val="24"/>
        </w:rPr>
        <w:t xml:space="preserve">ΕΛΛΗΝΙΚΗ ΔΗΜΟΚΡΑΤΙΑ </w:t>
      </w:r>
    </w:p>
    <w:p w:rsidR="00A653AE" w:rsidRDefault="00A653AE" w:rsidP="00A653AE">
      <w:pPr>
        <w:spacing w:after="219"/>
        <w:ind w:left="89"/>
        <w:jc w:val="center"/>
      </w:pPr>
      <w:r>
        <w:rPr>
          <w:b/>
          <w:sz w:val="24"/>
        </w:rPr>
        <w:t xml:space="preserve">ΔΗΜΟΤΙΚΗ ΕΠΙΧΕΙΡΗΣΗ </w:t>
      </w:r>
    </w:p>
    <w:p w:rsidR="00A653AE" w:rsidRDefault="00A653AE" w:rsidP="00A653AE">
      <w:pPr>
        <w:spacing w:after="221"/>
        <w:ind w:left="3738"/>
      </w:pPr>
      <w:r>
        <w:rPr>
          <w:b/>
          <w:sz w:val="24"/>
        </w:rPr>
        <w:t xml:space="preserve">ΥΔΡΕΥΣΗΣ ΚΑΙ ΑΠΟΧΕΤΕΥΣΗΣ </w:t>
      </w:r>
    </w:p>
    <w:p w:rsidR="00A653AE" w:rsidRDefault="00A653AE" w:rsidP="00A653AE">
      <w:pPr>
        <w:spacing w:after="221"/>
        <w:ind w:left="89" w:right="69"/>
      </w:pPr>
      <w:r w:rsidRPr="00AC7B7C">
        <w:rPr>
          <w:b/>
          <w:sz w:val="24"/>
        </w:rPr>
        <w:t xml:space="preserve">                                                                                  </w:t>
      </w:r>
      <w:r>
        <w:rPr>
          <w:b/>
          <w:sz w:val="24"/>
        </w:rPr>
        <w:t xml:space="preserve">ΠΡΕΒΕΖΑΣ </w:t>
      </w:r>
    </w:p>
    <w:p w:rsidR="00A653AE" w:rsidRPr="00C46004" w:rsidRDefault="00C46004" w:rsidP="00A653AE">
      <w:pPr>
        <w:pStyle w:val="1"/>
        <w:spacing w:after="200"/>
        <w:ind w:left="89" w:right="67"/>
        <w:rPr>
          <w:u w:val="none"/>
        </w:rPr>
      </w:pPr>
      <w:r w:rsidRPr="004B45BE">
        <w:rPr>
          <w:u w:val="none"/>
        </w:rPr>
        <w:t xml:space="preserve">                                                                                           </w:t>
      </w:r>
      <w:r w:rsidR="00A653AE" w:rsidRPr="00C46004">
        <w:rPr>
          <w:u w:val="none"/>
        </w:rPr>
        <w:t xml:space="preserve">(Δ.Ε.Υ.Α.Π.) </w:t>
      </w:r>
    </w:p>
    <w:p w:rsidR="00A653AE" w:rsidRDefault="00A653AE" w:rsidP="00A653AE">
      <w:pPr>
        <w:spacing w:after="218"/>
        <w:ind w:left="60"/>
        <w:jc w:val="center"/>
      </w:pPr>
      <w:r>
        <w:rPr>
          <w:b/>
        </w:rPr>
        <w:t xml:space="preserve"> </w:t>
      </w:r>
    </w:p>
    <w:p w:rsidR="00A653AE" w:rsidRDefault="00A653AE" w:rsidP="00A653AE">
      <w:pPr>
        <w:spacing w:after="218"/>
        <w:ind w:left="77"/>
      </w:pPr>
      <w:r>
        <w:t xml:space="preserve"> </w:t>
      </w:r>
    </w:p>
    <w:p w:rsidR="00A653AE" w:rsidRDefault="00A653AE" w:rsidP="00A653AE">
      <w:pPr>
        <w:spacing w:after="218"/>
        <w:ind w:left="77"/>
      </w:pPr>
      <w:r>
        <w:t xml:space="preserve"> </w:t>
      </w:r>
    </w:p>
    <w:p w:rsidR="00A653AE" w:rsidRDefault="00A653AE" w:rsidP="00A653AE">
      <w:pPr>
        <w:spacing w:after="278"/>
        <w:ind w:left="77"/>
      </w:pPr>
      <w:r>
        <w:t xml:space="preserve"> </w:t>
      </w:r>
    </w:p>
    <w:p w:rsidR="00A653AE" w:rsidRDefault="00A653AE" w:rsidP="00A653AE">
      <w:pPr>
        <w:spacing w:after="220"/>
        <w:ind w:left="74"/>
        <w:jc w:val="center"/>
      </w:pPr>
    </w:p>
    <w:p w:rsidR="00A653AE" w:rsidRDefault="00A653AE" w:rsidP="00A653AE">
      <w:pPr>
        <w:spacing w:after="0"/>
        <w:ind w:right="2289"/>
        <w:jc w:val="right"/>
      </w:pPr>
      <w:r>
        <w:rPr>
          <w:b/>
          <w:sz w:val="28"/>
        </w:rPr>
        <w:t>«Προμήθεια καυσίμων Δ.Ε.Υ.Α. ΠΡΕΒΕΖΑΣ 201</w:t>
      </w:r>
      <w:r w:rsidR="004B45BE" w:rsidRPr="004B45BE">
        <w:rPr>
          <w:b/>
          <w:sz w:val="28"/>
        </w:rPr>
        <w:t>8</w:t>
      </w:r>
      <w:r>
        <w:rPr>
          <w:b/>
          <w:sz w:val="28"/>
        </w:rPr>
        <w:t xml:space="preserve">» </w:t>
      </w:r>
    </w:p>
    <w:p w:rsidR="00A653AE" w:rsidRDefault="00A653AE" w:rsidP="00A653AE">
      <w:pPr>
        <w:spacing w:after="218"/>
        <w:ind w:left="77"/>
      </w:pPr>
      <w:r>
        <w:t xml:space="preserve">                                                                           ΤΕΧΝΙΚΕΣ ΠΡΟΔΙΑΓΡΑΦΕΣ</w:t>
      </w:r>
    </w:p>
    <w:p w:rsidR="00A653AE" w:rsidRDefault="00A653AE" w:rsidP="00A653AE">
      <w:pPr>
        <w:spacing w:after="17"/>
        <w:ind w:left="10" w:right="53"/>
      </w:pPr>
      <w:r>
        <w:t xml:space="preserve">                                                    Ενδεικτικός Προϋπολογισμός:  </w:t>
      </w:r>
      <w:r w:rsidR="004B45BE" w:rsidRPr="004B45BE">
        <w:t>3</w:t>
      </w:r>
      <w:r w:rsidR="003C3640">
        <w:rPr>
          <w:lang w:val="en-US"/>
        </w:rPr>
        <w:t>0</w:t>
      </w:r>
      <w:r w:rsidRPr="009D74C9">
        <w:t>.000,00</w:t>
      </w:r>
      <w:r>
        <w:t xml:space="preserve"> € (χωρίς Φ.Π.Α.) </w:t>
      </w:r>
    </w:p>
    <w:p w:rsidR="00A653AE" w:rsidRDefault="00A653AE" w:rsidP="00A653AE">
      <w:pPr>
        <w:spacing w:after="17"/>
        <w:ind w:left="10" w:right="53"/>
      </w:pPr>
      <w:r>
        <w:t xml:space="preserve">                                                                        Χρηματοδότηση:  Ίδιοι πόροι </w:t>
      </w:r>
    </w:p>
    <w:p w:rsidR="00A653AE" w:rsidRDefault="00A653AE" w:rsidP="00A653AE">
      <w:pPr>
        <w:spacing w:after="17"/>
        <w:ind w:left="10" w:right="53"/>
      </w:pPr>
      <w:r>
        <w:t xml:space="preserve">                                                                      Κωδικός αριθμός είδους - CPV:   </w:t>
      </w:r>
    </w:p>
    <w:p w:rsidR="00A653AE" w:rsidRDefault="00A653AE" w:rsidP="00A653AE">
      <w:pPr>
        <w:spacing w:after="17"/>
        <w:ind w:left="10" w:right="53"/>
      </w:pPr>
      <w:r>
        <w:t xml:space="preserve">                                                         Γενικός Κωδικός:  09100000-0 «Καύσιμα» </w:t>
      </w:r>
      <w:bookmarkStart w:id="0" w:name="_GoBack"/>
      <w:bookmarkEnd w:id="0"/>
    </w:p>
    <w:p w:rsidR="00A653AE" w:rsidRDefault="00A653AE" w:rsidP="00A653AE">
      <w:pPr>
        <w:spacing w:after="17"/>
        <w:ind w:left="10" w:right="53"/>
      </w:pPr>
      <w:r>
        <w:t xml:space="preserve">                                                                         09132100-4 «Αμόλυβδη βενζίνη» </w:t>
      </w:r>
    </w:p>
    <w:p w:rsidR="00A653AE" w:rsidRDefault="00A653AE" w:rsidP="00A653AE">
      <w:pPr>
        <w:spacing w:after="62" w:line="276" w:lineRule="auto"/>
      </w:pPr>
      <w:r>
        <w:t xml:space="preserve">                                                                        09134100-8 «Πετρέλαιο ντίζελ» </w:t>
      </w:r>
    </w:p>
    <w:p w:rsidR="004B45BE" w:rsidRPr="004B45BE" w:rsidRDefault="004B45BE" w:rsidP="00A653AE">
      <w:pPr>
        <w:spacing w:after="62" w:line="276" w:lineRule="auto"/>
      </w:pPr>
      <w:r w:rsidRPr="004B45BE">
        <w:t xml:space="preserve">                                                                        </w:t>
      </w:r>
    </w:p>
    <w:p w:rsidR="00A653AE" w:rsidRDefault="00A653AE">
      <w:pPr>
        <w:spacing w:after="343"/>
        <w:ind w:right="48"/>
        <w:jc w:val="center"/>
        <w:rPr>
          <w:b/>
          <w:sz w:val="28"/>
        </w:rPr>
      </w:pPr>
    </w:p>
    <w:p w:rsidR="00A653AE" w:rsidRDefault="00A653AE">
      <w:pPr>
        <w:spacing w:after="343"/>
        <w:ind w:right="48"/>
        <w:jc w:val="center"/>
        <w:rPr>
          <w:b/>
          <w:sz w:val="28"/>
        </w:rPr>
      </w:pPr>
    </w:p>
    <w:p w:rsidR="00A653AE" w:rsidRDefault="00A653AE">
      <w:pPr>
        <w:spacing w:after="343"/>
        <w:ind w:right="48"/>
        <w:jc w:val="center"/>
        <w:rPr>
          <w:b/>
          <w:sz w:val="28"/>
        </w:rPr>
      </w:pPr>
    </w:p>
    <w:p w:rsidR="00A653AE" w:rsidRDefault="00A653AE">
      <w:pPr>
        <w:spacing w:after="343"/>
        <w:ind w:right="48"/>
        <w:jc w:val="center"/>
        <w:rPr>
          <w:b/>
          <w:sz w:val="28"/>
        </w:rPr>
      </w:pPr>
    </w:p>
    <w:p w:rsidR="00A653AE" w:rsidRDefault="00A653AE">
      <w:pPr>
        <w:spacing w:after="343"/>
        <w:ind w:right="48"/>
        <w:jc w:val="center"/>
        <w:rPr>
          <w:b/>
          <w:sz w:val="28"/>
        </w:rPr>
      </w:pPr>
    </w:p>
    <w:p w:rsidR="00A653AE" w:rsidRDefault="00A653AE">
      <w:pPr>
        <w:spacing w:after="343"/>
        <w:ind w:right="48"/>
        <w:jc w:val="center"/>
        <w:rPr>
          <w:b/>
          <w:sz w:val="28"/>
        </w:rPr>
      </w:pPr>
    </w:p>
    <w:p w:rsidR="00A653AE" w:rsidRDefault="00A653AE">
      <w:pPr>
        <w:spacing w:after="343"/>
        <w:ind w:right="48"/>
        <w:jc w:val="center"/>
        <w:rPr>
          <w:b/>
          <w:sz w:val="28"/>
        </w:rPr>
      </w:pPr>
    </w:p>
    <w:p w:rsidR="00A653AE" w:rsidRDefault="00A653AE">
      <w:pPr>
        <w:spacing w:after="343"/>
        <w:ind w:right="48"/>
        <w:jc w:val="center"/>
        <w:rPr>
          <w:b/>
          <w:sz w:val="28"/>
        </w:rPr>
      </w:pPr>
    </w:p>
    <w:p w:rsidR="006B732B" w:rsidRDefault="0043470E">
      <w:pPr>
        <w:spacing w:after="343"/>
        <w:ind w:right="48"/>
        <w:jc w:val="center"/>
      </w:pPr>
      <w:r>
        <w:rPr>
          <w:b/>
          <w:sz w:val="28"/>
        </w:rPr>
        <w:t xml:space="preserve">Θέμα: «Προμήθεια καυσίμων Δ.Ε.Υ.Α. </w:t>
      </w:r>
      <w:r w:rsidR="00040AA2">
        <w:rPr>
          <w:b/>
          <w:sz w:val="28"/>
        </w:rPr>
        <w:t>ΠΡΕΒΕΖΑΣ</w:t>
      </w:r>
      <w:r>
        <w:rPr>
          <w:b/>
          <w:sz w:val="28"/>
        </w:rPr>
        <w:t xml:space="preserve"> 201</w:t>
      </w:r>
      <w:r w:rsidR="004B45BE">
        <w:rPr>
          <w:b/>
          <w:sz w:val="28"/>
        </w:rPr>
        <w:t>8</w:t>
      </w:r>
      <w:r>
        <w:rPr>
          <w:b/>
          <w:sz w:val="28"/>
        </w:rPr>
        <w:t xml:space="preserve">» </w:t>
      </w:r>
    </w:p>
    <w:p w:rsidR="006B732B" w:rsidRDefault="0043470E">
      <w:pPr>
        <w:spacing w:after="83"/>
        <w:ind w:right="50"/>
        <w:jc w:val="center"/>
        <w:rPr>
          <w:b/>
          <w:sz w:val="28"/>
        </w:rPr>
      </w:pPr>
      <w:r>
        <w:rPr>
          <w:b/>
          <w:sz w:val="28"/>
          <w:u w:val="single" w:color="000000"/>
        </w:rPr>
        <w:t>ΤΕΧΝΙΚΕΣ ΠΡΟΔΙΑΓΡΑΦΕΣ</w:t>
      </w:r>
      <w:r>
        <w:rPr>
          <w:b/>
          <w:sz w:val="28"/>
        </w:rPr>
        <w:t xml:space="preserve"> </w:t>
      </w:r>
    </w:p>
    <w:p w:rsidR="0043470E" w:rsidRDefault="0043470E">
      <w:pPr>
        <w:spacing w:after="83"/>
        <w:ind w:right="50"/>
        <w:jc w:val="center"/>
      </w:pPr>
    </w:p>
    <w:p w:rsidR="006B732B" w:rsidRDefault="0043470E">
      <w:pPr>
        <w:pStyle w:val="1"/>
        <w:ind w:left="-5"/>
      </w:pPr>
      <w:r>
        <w:t>Γενικά Χαρακτηριστικά</w:t>
      </w:r>
      <w:r>
        <w:rPr>
          <w:u w:val="none"/>
        </w:rPr>
        <w:t xml:space="preserve"> </w:t>
      </w:r>
    </w:p>
    <w:p w:rsidR="006B732B" w:rsidRDefault="0043470E">
      <w:pPr>
        <w:spacing w:after="281" w:line="276" w:lineRule="auto"/>
        <w:ind w:left="715" w:right="35" w:hanging="370"/>
        <w:jc w:val="both"/>
      </w:pPr>
      <w:r>
        <w:rPr>
          <w:noProof/>
        </w:rPr>
        <w:drawing>
          <wp:anchor distT="0" distB="0" distL="114300" distR="114300" simplePos="0" relativeHeight="251658240" behindDoc="0" locked="0" layoutInCell="1" allowOverlap="0">
            <wp:simplePos x="0" y="0"/>
            <wp:positionH relativeFrom="page">
              <wp:posOffset>1095375</wp:posOffset>
            </wp:positionH>
            <wp:positionV relativeFrom="page">
              <wp:posOffset>285750</wp:posOffset>
            </wp:positionV>
            <wp:extent cx="438150" cy="457200"/>
            <wp:effectExtent l="0" t="0" r="0" b="0"/>
            <wp:wrapSquare wrapText="bothSides"/>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6"/>
                    <a:stretch>
                      <a:fillRect/>
                    </a:stretch>
                  </pic:blipFill>
                  <pic:spPr>
                    <a:xfrm>
                      <a:off x="0" y="0"/>
                      <a:ext cx="438150" cy="457200"/>
                    </a:xfrm>
                    <a:prstGeom prst="rect">
                      <a:avLst/>
                    </a:prstGeom>
                  </pic:spPr>
                </pic:pic>
              </a:graphicData>
            </a:graphic>
          </wp:anchor>
        </w:drawing>
      </w:r>
      <w:r>
        <w:rPr>
          <w:rFonts w:ascii="Arial" w:eastAsia="Arial" w:hAnsi="Arial" w:cs="Arial"/>
        </w:rPr>
        <w:t xml:space="preserve">     </w:t>
      </w:r>
      <w:r>
        <w:t xml:space="preserve">Τα υπό προμήθεια υγρά καύσιμα για τις ανάγκες της Δ.Ε.Υ.Α. </w:t>
      </w:r>
      <w:r w:rsidR="00040AA2">
        <w:t>ΠΡΕΒΕΖΑΣ</w:t>
      </w:r>
      <w:r>
        <w:t xml:space="preserve"> πρέπει να είναι ποιότητας όμοιας με εκείνη που παράγουν τα Ελληνικά Κρατικά Διυλιστήρια (Ασπροπύργου κ.λπ.) και θα πληρούν τις προδιαγραφές που εκάστοτε ορίζονται από το Ανώτατο Χημικό Συμβούλιο του Γενικού Χημείου του Κράτους ή ισοδύναμου οργανισμού άλλων κρατών μελών της Ε.Ε. </w:t>
      </w:r>
    </w:p>
    <w:p w:rsidR="006B732B" w:rsidRDefault="0043470E">
      <w:pPr>
        <w:pStyle w:val="1"/>
        <w:ind w:left="-5"/>
      </w:pPr>
      <w:r>
        <w:t>Ειδικά Χαρακτηριστικά</w:t>
      </w:r>
      <w:r>
        <w:rPr>
          <w:u w:val="none"/>
        </w:rPr>
        <w:t xml:space="preserve"> </w:t>
      </w:r>
    </w:p>
    <w:p w:rsidR="006B732B" w:rsidRDefault="0043470E">
      <w:pPr>
        <w:numPr>
          <w:ilvl w:val="0"/>
          <w:numId w:val="2"/>
        </w:numPr>
        <w:spacing w:after="44" w:line="276" w:lineRule="auto"/>
        <w:ind w:right="35" w:hanging="360"/>
        <w:jc w:val="both"/>
      </w:pPr>
      <w:r>
        <w:t xml:space="preserve">Το πετρέλαιο κίνησης DIESEL αριθμός </w:t>
      </w:r>
      <w:proofErr w:type="spellStart"/>
      <w:r>
        <w:t>κετανίων</w:t>
      </w:r>
      <w:proofErr w:type="spellEnd"/>
      <w:r>
        <w:t xml:space="preserve"> &gt; 45, περιεκτικότητα σε προσμίξεις θείου &lt; 0,3% θα </w:t>
      </w:r>
      <w:r>
        <w:rPr>
          <w:b/>
        </w:rPr>
        <w:t>πρέπει να είναι απαλλαγμένο από άλλες προσμίξεις, από νερό, και φυσικά σε καμία περίπτωση δεν πρέπει να υπάρχει ανάμιξη με πετρέλαιο θέρμανσης.</w:t>
      </w:r>
      <w:r>
        <w:t xml:space="preserve"> </w:t>
      </w:r>
    </w:p>
    <w:p w:rsidR="006B732B" w:rsidRDefault="0043470E">
      <w:pPr>
        <w:numPr>
          <w:ilvl w:val="0"/>
          <w:numId w:val="2"/>
        </w:numPr>
        <w:spacing w:after="0" w:line="276" w:lineRule="auto"/>
        <w:ind w:right="35" w:hanging="360"/>
        <w:jc w:val="both"/>
      </w:pPr>
      <w:r>
        <w:t xml:space="preserve">Η αμόλυβδη βενζίνη 95 οκτανίων θα είναι σύμφωνη με τις κρατικές προδιαγραφές (ΕΛ.Δ.Α.). Σε καμιά περίπτωση δεν επιτρέπεται ανάμιξή της με βενζίνη SUPER ή νερό ή πετρέλαιο. </w:t>
      </w:r>
    </w:p>
    <w:p w:rsidR="006B732B" w:rsidRDefault="0043470E">
      <w:pPr>
        <w:spacing w:after="19"/>
        <w:ind w:left="720"/>
      </w:pPr>
      <w:r>
        <w:t xml:space="preserve"> </w:t>
      </w:r>
    </w:p>
    <w:p w:rsidR="006B732B" w:rsidRDefault="0043470E">
      <w:pPr>
        <w:spacing w:after="9" w:line="266" w:lineRule="auto"/>
        <w:ind w:left="730" w:hanging="10"/>
      </w:pPr>
      <w:r>
        <w:rPr>
          <w:b/>
        </w:rPr>
        <w:t>*</w:t>
      </w:r>
      <w:r>
        <w:rPr>
          <w:b/>
          <w:u w:val="single" w:color="000000"/>
        </w:rPr>
        <w:t>Η υπηρεσία διατηρεί το δικαίωμα να αποστέλλει δείγματα από τα καύσιμα ώστε να ελέγχεται τόσο η</w:t>
      </w:r>
      <w:r>
        <w:rPr>
          <w:b/>
        </w:rPr>
        <w:t xml:space="preserve"> </w:t>
      </w:r>
      <w:r>
        <w:rPr>
          <w:b/>
          <w:u w:val="single" w:color="000000"/>
        </w:rPr>
        <w:t>ποιότητα όσο και αν πληρούν τις απαιτούμενες προδιαγραφές στο Γενικό Χημείο του Κράτους.</w:t>
      </w:r>
      <w:r>
        <w:t xml:space="preserve"> </w:t>
      </w:r>
    </w:p>
    <w:p w:rsidR="00040AA2" w:rsidRDefault="00040AA2">
      <w:pPr>
        <w:spacing w:after="113"/>
        <w:jc w:val="center"/>
      </w:pPr>
    </w:p>
    <w:p w:rsidR="006B732B" w:rsidRDefault="0043470E">
      <w:pPr>
        <w:spacing w:after="113"/>
        <w:jc w:val="center"/>
      </w:pPr>
      <w:r>
        <w:t xml:space="preserve"> </w:t>
      </w:r>
    </w:p>
    <w:p w:rsidR="0043470E" w:rsidRDefault="0043470E" w:rsidP="0043470E">
      <w:pPr>
        <w:spacing w:after="0"/>
        <w:ind w:right="52"/>
        <w:jc w:val="center"/>
      </w:pPr>
      <w:r>
        <w:t xml:space="preserve">ΠΡΕΒΕΖΑ       </w:t>
      </w:r>
      <w:r w:rsidR="00041158">
        <w:rPr>
          <w:lang w:val="en-US"/>
        </w:rPr>
        <w:t>24/11/</w:t>
      </w:r>
      <w:r>
        <w:t>2017</w:t>
      </w:r>
    </w:p>
    <w:p w:rsidR="0043470E" w:rsidRDefault="0043470E" w:rsidP="0043470E">
      <w:pPr>
        <w:spacing w:after="0"/>
        <w:ind w:right="52"/>
        <w:jc w:val="center"/>
      </w:pPr>
    </w:p>
    <w:p w:rsidR="0043470E" w:rsidRDefault="0043470E" w:rsidP="0043470E">
      <w:pPr>
        <w:spacing w:after="0"/>
        <w:ind w:right="52"/>
        <w:jc w:val="center"/>
      </w:pPr>
    </w:p>
    <w:p w:rsidR="0043470E" w:rsidRDefault="0043470E" w:rsidP="0043470E">
      <w:pPr>
        <w:spacing w:after="0"/>
        <w:ind w:right="52"/>
        <w:jc w:val="center"/>
      </w:pPr>
      <w:r>
        <w:t xml:space="preserve"> </w:t>
      </w:r>
    </w:p>
    <w:tbl>
      <w:tblPr>
        <w:tblStyle w:val="TableGrid"/>
        <w:tblW w:w="9323" w:type="dxa"/>
        <w:tblInd w:w="0" w:type="dxa"/>
        <w:tblLook w:val="04A0" w:firstRow="1" w:lastRow="0" w:firstColumn="1" w:lastColumn="0" w:noHBand="0" w:noVBand="1"/>
      </w:tblPr>
      <w:tblGrid>
        <w:gridCol w:w="3776"/>
        <w:gridCol w:w="5547"/>
      </w:tblGrid>
      <w:tr w:rsidR="0043470E" w:rsidTr="00E45341">
        <w:trPr>
          <w:trHeight w:val="2176"/>
        </w:trPr>
        <w:tc>
          <w:tcPr>
            <w:tcW w:w="3776" w:type="dxa"/>
            <w:tcBorders>
              <w:top w:val="nil"/>
              <w:left w:val="nil"/>
              <w:bottom w:val="nil"/>
              <w:right w:val="nil"/>
            </w:tcBorders>
          </w:tcPr>
          <w:p w:rsidR="0043470E" w:rsidRDefault="0043470E" w:rsidP="00E45341">
            <w:pPr>
              <w:spacing w:after="19"/>
              <w:ind w:left="750"/>
              <w:jc w:val="center"/>
            </w:pPr>
            <w:r>
              <w:t xml:space="preserve">Συντάχθηκε </w:t>
            </w:r>
          </w:p>
          <w:p w:rsidR="0043470E" w:rsidRDefault="0043470E" w:rsidP="00E45341">
            <w:pPr>
              <w:spacing w:after="19"/>
              <w:ind w:left="750"/>
              <w:jc w:val="center"/>
            </w:pPr>
            <w:r>
              <w:t xml:space="preserve">Ο </w:t>
            </w:r>
            <w:proofErr w:type="spellStart"/>
            <w:r>
              <w:t>Δντης</w:t>
            </w:r>
            <w:proofErr w:type="spellEnd"/>
            <w:r>
              <w:t xml:space="preserve"> Τ.Υ </w:t>
            </w:r>
          </w:p>
          <w:p w:rsidR="0043470E" w:rsidRDefault="0043470E" w:rsidP="00E45341">
            <w:pPr>
              <w:spacing w:after="112"/>
              <w:ind w:left="796"/>
              <w:jc w:val="center"/>
            </w:pPr>
            <w:r>
              <w:t xml:space="preserve"> </w:t>
            </w:r>
          </w:p>
          <w:p w:rsidR="0043470E" w:rsidRDefault="0043470E" w:rsidP="00E45341">
            <w:pPr>
              <w:spacing w:after="21"/>
              <w:ind w:left="796"/>
              <w:jc w:val="center"/>
            </w:pPr>
            <w:r>
              <w:t>ΝΙΚΟΛΑΟΣ ΣΑΜΠΟΣ</w:t>
            </w:r>
          </w:p>
          <w:p w:rsidR="0043470E" w:rsidRDefault="0043470E" w:rsidP="00E45341">
            <w:r>
              <w:t xml:space="preserve"> </w:t>
            </w:r>
          </w:p>
        </w:tc>
        <w:tc>
          <w:tcPr>
            <w:tcW w:w="5547" w:type="dxa"/>
            <w:tcBorders>
              <w:top w:val="nil"/>
              <w:left w:val="nil"/>
              <w:bottom w:val="nil"/>
              <w:right w:val="nil"/>
            </w:tcBorders>
          </w:tcPr>
          <w:p w:rsidR="0043470E" w:rsidRDefault="0043470E" w:rsidP="00E45341">
            <w:pPr>
              <w:spacing w:after="19"/>
              <w:ind w:right="255"/>
              <w:jc w:val="right"/>
            </w:pPr>
            <w:r>
              <w:t xml:space="preserve">Ελέγχθηκε &amp; Θεωρήθηκε </w:t>
            </w:r>
          </w:p>
          <w:p w:rsidR="0043470E" w:rsidRDefault="0043470E" w:rsidP="00E45341">
            <w:pPr>
              <w:spacing w:after="19"/>
              <w:ind w:left="3766"/>
            </w:pPr>
            <w:r>
              <w:t>Ο ΓΕΝ. Δ/</w:t>
            </w:r>
            <w:proofErr w:type="spellStart"/>
            <w:r>
              <w:t>ντης</w:t>
            </w:r>
            <w:proofErr w:type="spellEnd"/>
            <w:r>
              <w:t xml:space="preserve"> </w:t>
            </w:r>
          </w:p>
          <w:p w:rsidR="0043470E" w:rsidRDefault="0043470E" w:rsidP="00E45341">
            <w:pPr>
              <w:spacing w:after="112"/>
              <w:ind w:left="2832"/>
              <w:jc w:val="center"/>
            </w:pPr>
            <w:r>
              <w:t xml:space="preserve"> </w:t>
            </w:r>
          </w:p>
          <w:p w:rsidR="0043470E" w:rsidRDefault="0043470E" w:rsidP="00E45341">
            <w:pPr>
              <w:ind w:right="213"/>
              <w:jc w:val="right"/>
            </w:pPr>
            <w:r>
              <w:t>ΠΑΠΟΥΤΣΗΣ ΚΩΝ/ΝΟΣ</w:t>
            </w:r>
          </w:p>
        </w:tc>
      </w:tr>
    </w:tbl>
    <w:p w:rsidR="006B732B" w:rsidRDefault="006B732B">
      <w:pPr>
        <w:spacing w:after="0"/>
        <w:ind w:right="50"/>
        <w:jc w:val="center"/>
      </w:pPr>
    </w:p>
    <w:tbl>
      <w:tblPr>
        <w:tblStyle w:val="TableGrid"/>
        <w:tblW w:w="9323" w:type="dxa"/>
        <w:tblInd w:w="0" w:type="dxa"/>
        <w:tblLook w:val="04A0" w:firstRow="1" w:lastRow="0" w:firstColumn="1" w:lastColumn="0" w:noHBand="0" w:noVBand="1"/>
      </w:tblPr>
      <w:tblGrid>
        <w:gridCol w:w="3776"/>
        <w:gridCol w:w="5547"/>
      </w:tblGrid>
      <w:tr w:rsidR="006B732B">
        <w:trPr>
          <w:trHeight w:val="2174"/>
        </w:trPr>
        <w:tc>
          <w:tcPr>
            <w:tcW w:w="3776" w:type="dxa"/>
            <w:tcBorders>
              <w:top w:val="nil"/>
              <w:left w:val="nil"/>
              <w:bottom w:val="nil"/>
              <w:right w:val="nil"/>
            </w:tcBorders>
          </w:tcPr>
          <w:p w:rsidR="006B732B" w:rsidRDefault="006B732B"/>
        </w:tc>
        <w:tc>
          <w:tcPr>
            <w:tcW w:w="5547" w:type="dxa"/>
            <w:tcBorders>
              <w:top w:val="nil"/>
              <w:left w:val="nil"/>
              <w:bottom w:val="nil"/>
              <w:right w:val="nil"/>
            </w:tcBorders>
          </w:tcPr>
          <w:p w:rsidR="006B732B" w:rsidRDefault="006B732B">
            <w:pPr>
              <w:ind w:right="213"/>
              <w:jc w:val="right"/>
            </w:pPr>
          </w:p>
        </w:tc>
      </w:tr>
    </w:tbl>
    <w:p w:rsidR="006B732B" w:rsidRDefault="0043470E">
      <w:pPr>
        <w:spacing w:after="17"/>
        <w:ind w:right="47"/>
        <w:jc w:val="right"/>
      </w:pPr>
      <w:r>
        <w:rPr>
          <w:sz w:val="18"/>
        </w:rPr>
        <w:t xml:space="preserve">Σελίδα </w:t>
      </w:r>
      <w:r>
        <w:rPr>
          <w:b/>
          <w:sz w:val="18"/>
        </w:rPr>
        <w:t>1</w:t>
      </w:r>
      <w:r>
        <w:rPr>
          <w:sz w:val="18"/>
        </w:rPr>
        <w:t xml:space="preserve"> από </w:t>
      </w:r>
      <w:r>
        <w:rPr>
          <w:b/>
          <w:sz w:val="18"/>
        </w:rPr>
        <w:t>1</w:t>
      </w:r>
      <w:r>
        <w:rPr>
          <w:sz w:val="18"/>
        </w:rPr>
        <w:t xml:space="preserve"> </w:t>
      </w:r>
    </w:p>
    <w:p w:rsidR="006B732B" w:rsidRDefault="0043470E">
      <w:pPr>
        <w:spacing w:after="0"/>
      </w:pPr>
      <w:r>
        <w:t xml:space="preserve"> </w:t>
      </w:r>
    </w:p>
    <w:sectPr w:rsidR="006B732B">
      <w:pgSz w:w="11906" w:h="16838"/>
      <w:pgMar w:top="1440" w:right="798" w:bottom="901"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213D2"/>
    <w:multiLevelType w:val="hybridMultilevel"/>
    <w:tmpl w:val="2CE0EA80"/>
    <w:lvl w:ilvl="0" w:tplc="F86625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6A7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8AFC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6827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0A20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A63E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B2D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26EA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9ED2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4E473D"/>
    <w:multiLevelType w:val="hybridMultilevel"/>
    <w:tmpl w:val="5FFA4EB2"/>
    <w:lvl w:ilvl="0" w:tplc="8AD6B26A">
      <w:start w:val="1"/>
      <w:numFmt w:val="bullet"/>
      <w:lvlText w:val="•"/>
      <w:lvlJc w:val="left"/>
      <w:pPr>
        <w:ind w:left="63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2DF809EA">
      <w:start w:val="1"/>
      <w:numFmt w:val="bullet"/>
      <w:lvlText w:val="o"/>
      <w:lvlJc w:val="left"/>
      <w:pPr>
        <w:ind w:left="145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2" w:tplc="D2A233B6">
      <w:start w:val="1"/>
      <w:numFmt w:val="bullet"/>
      <w:lvlText w:val="▪"/>
      <w:lvlJc w:val="left"/>
      <w:pPr>
        <w:ind w:left="217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581A7340">
      <w:start w:val="1"/>
      <w:numFmt w:val="bullet"/>
      <w:lvlText w:val="•"/>
      <w:lvlJc w:val="left"/>
      <w:pPr>
        <w:ind w:left="289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CF7A3500">
      <w:start w:val="1"/>
      <w:numFmt w:val="bullet"/>
      <w:lvlText w:val="o"/>
      <w:lvlJc w:val="left"/>
      <w:pPr>
        <w:ind w:left="361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8FAC6082">
      <w:start w:val="1"/>
      <w:numFmt w:val="bullet"/>
      <w:lvlText w:val="▪"/>
      <w:lvlJc w:val="left"/>
      <w:pPr>
        <w:ind w:left="433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BCD8518A">
      <w:start w:val="1"/>
      <w:numFmt w:val="bullet"/>
      <w:lvlText w:val="•"/>
      <w:lvlJc w:val="left"/>
      <w:pPr>
        <w:ind w:left="505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8CE2638E">
      <w:start w:val="1"/>
      <w:numFmt w:val="bullet"/>
      <w:lvlText w:val="o"/>
      <w:lvlJc w:val="left"/>
      <w:pPr>
        <w:ind w:left="577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D7EE4340">
      <w:start w:val="1"/>
      <w:numFmt w:val="bullet"/>
      <w:lvlText w:val="▪"/>
      <w:lvlJc w:val="left"/>
      <w:pPr>
        <w:ind w:left="6496"/>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B"/>
    <w:rsid w:val="00040AA2"/>
    <w:rsid w:val="00041158"/>
    <w:rsid w:val="003C3640"/>
    <w:rsid w:val="0043470E"/>
    <w:rsid w:val="004B45BE"/>
    <w:rsid w:val="006B732B"/>
    <w:rsid w:val="00A653AE"/>
    <w:rsid w:val="00C46004"/>
    <w:rsid w:val="00CE0F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487E-AACF-4F64-AE25-7F7747D2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56" w:line="266" w:lineRule="auto"/>
      <w:ind w:left="10" w:hanging="10"/>
      <w:outlineLvl w:val="0"/>
    </w:pPr>
    <w:rPr>
      <w:rFonts w:ascii="Calibri" w:eastAsia="Calibri" w:hAnsi="Calibri" w:cs="Calibri"/>
      <w:b/>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1985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GEORGE TZOKAS</cp:lastModifiedBy>
  <cp:revision>5</cp:revision>
  <dcterms:created xsi:type="dcterms:W3CDTF">2017-11-22T08:03:00Z</dcterms:created>
  <dcterms:modified xsi:type="dcterms:W3CDTF">2017-12-05T09:40:00Z</dcterms:modified>
</cp:coreProperties>
</file>